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PA</w:t>
      </w:r>
      <w:r>
        <w:t xml:space="preserve"> </w:t>
      </w:r>
      <w:r>
        <w:t xml:space="preserve">event</w:t>
      </w:r>
      <w:r>
        <w:t xml:space="preserve"> </w:t>
      </w:r>
      <w:r>
        <w:t xml:space="preserve">analyses</w:t>
      </w:r>
    </w:p>
    <w:p>
      <w:pPr>
        <w:pStyle w:val="Date"/>
      </w:pPr>
      <w:r>
        <w:t xml:space="preserve">2024-10-30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</w:t>
          </w:r>
          <w:r>
            <w:t xml:space="preserve"> </w:t>
          </w:r>
          <w:r>
            <w:t xml:space="preserve">of</w:t>
          </w:r>
          <w:r>
            <w:t xml:space="preserve"> </w:t>
          </w:r>
          <w:r>
            <w:t xml:space="preserve">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pPr>
        <w:pStyle w:val="SourceCode"/>
      </w:pPr>
      <w:r>
        <w:rPr>
          <w:rStyle w:val="NormalTok"/>
        </w:rPr>
        <w:t xml:space="preserve">targets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tar_config_set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store =</w:t>
      </w:r>
      <w:r>
        <w:rPr>
          <w:rStyle w:val="NormalTok"/>
        </w:rPr>
        <w:t xml:space="preserve"> here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here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"_targets"</w:t>
      </w:r>
      <w:r>
        <w:rPr>
          <w:rStyle w:val="NormalTok"/>
        </w:rPr>
        <w:t xml:space="preserve">))</w:t>
      </w:r>
      <w:r>
        <w:br/>
      </w:r>
      <w:r>
        <w:rPr>
          <w:rStyle w:val="FunctionTok"/>
        </w:rPr>
        <w:t xml:space="preserve">source</w:t>
      </w:r>
      <w:r>
        <w:rPr>
          <w:rStyle w:val="NormalTok"/>
        </w:rPr>
        <w:t xml:space="preserve">(here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here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"R/functions.R"</w:t>
      </w:r>
      <w:r>
        <w:rPr>
          <w:rStyle w:val="NormalTok"/>
        </w:rPr>
        <w:t xml:space="preserve">))</w:t>
      </w:r>
      <w:r>
        <w:br/>
      </w:r>
      <w:r>
        <w:rPr>
          <w:rStyle w:val="FunctionTok"/>
        </w:rPr>
        <w:t xml:space="preserve">source</w:t>
      </w:r>
      <w:r>
        <w:rPr>
          <w:rStyle w:val="NormalTok"/>
        </w:rPr>
        <w:t xml:space="preserve">(here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here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"R/glmnet-reg.R"</w:t>
      </w:r>
      <w:r>
        <w:rPr>
          <w:rStyle w:val="NormalTok"/>
        </w:rPr>
        <w:t xml:space="preserve">))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(targets)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(tidyverse)</w:t>
      </w:r>
    </w:p>
    <w:p>
      <w:pPr>
        <w:pStyle w:val="SourceCode"/>
      </w:pPr>
      <w:r>
        <w:rPr>
          <w:rStyle w:val="VerbatimChar"/>
        </w:rPr>
        <w:t xml:space="preserve">── Attaching core tidyverse packages ──────────────────────── tidyverse 2.0.0 ──</w:t>
      </w:r>
      <w:r>
        <w:br/>
      </w:r>
      <w:r>
        <w:rPr>
          <w:rStyle w:val="VerbatimChar"/>
        </w:rPr>
        <w:t xml:space="preserve">✔ dplyr     1.1.4     ✔ readr     2.1.5</w:t>
      </w:r>
      <w:r>
        <w:br/>
      </w:r>
      <w:r>
        <w:rPr>
          <w:rStyle w:val="VerbatimChar"/>
        </w:rPr>
        <w:t xml:space="preserve">✔ forcats   1.0.0     ✔ stringr   1.5.1</w:t>
      </w:r>
      <w:r>
        <w:br/>
      </w:r>
      <w:r>
        <w:rPr>
          <w:rStyle w:val="VerbatimChar"/>
        </w:rPr>
        <w:t xml:space="preserve">✔ ggplot2   3.5.1     ✔ tibble    3.2.1</w:t>
      </w:r>
      <w:r>
        <w:br/>
      </w:r>
      <w:r>
        <w:rPr>
          <w:rStyle w:val="VerbatimChar"/>
        </w:rPr>
        <w:t xml:space="preserve">✔ lubridate 1.9.3     ✔ tidyr     1.3.1</w:t>
      </w:r>
      <w:r>
        <w:br/>
      </w:r>
      <w:r>
        <w:rPr>
          <w:rStyle w:val="VerbatimChar"/>
        </w:rPr>
        <w:t xml:space="preserve">✔ purrr     1.0.2     </w:t>
      </w:r>
      <w:r>
        <w:br/>
      </w:r>
      <w:r>
        <w:rPr>
          <w:rStyle w:val="VerbatimChar"/>
        </w:rPr>
        <w:t xml:space="preserve">── Conflicts ────────────────────────────────────────── tidyverse_conflicts() ──</w:t>
      </w:r>
      <w:r>
        <w:br/>
      </w:r>
      <w:r>
        <w:rPr>
          <w:rStyle w:val="VerbatimChar"/>
        </w:rPr>
        <w:t xml:space="preserve">✖ dplyr::filter() masks stats::filter()</w:t>
      </w:r>
      <w:r>
        <w:br/>
      </w:r>
      <w:r>
        <w:rPr>
          <w:rStyle w:val="VerbatimChar"/>
        </w:rPr>
        <w:t xml:space="preserve">✖ dplyr::lag()    masks stats::lag()</w:t>
      </w:r>
      <w:r>
        <w:br/>
      </w:r>
      <w:r>
        <w:rPr>
          <w:rStyle w:val="VerbatimChar"/>
        </w:rPr>
        <w:t xml:space="preserve">ℹ Use the conflicted package (&lt;http://conflicted.r-lib.org/&gt;) to force all conflicts to become errors</w:t>
      </w:r>
    </w:p>
    <w:bookmarkStart w:id="21" w:name="cox-regression"/>
    <w:p>
      <w:pPr>
        <w:pStyle w:val="Heading2"/>
      </w:pPr>
      <w:r>
        <w:t xml:space="preserve">Cox-regression</w:t>
      </w:r>
    </w:p>
    <w:p>
      <w:pPr>
        <w:pStyle w:val="SourceCode"/>
      </w:pPr>
      <w:r>
        <w:rPr>
          <w:rStyle w:val="FunctionTok"/>
        </w:rPr>
        <w:t xml:space="preserve">list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"Univariate"</w:t>
      </w:r>
      <w:r>
        <w:rPr>
          <w:rStyle w:val="OtherTok"/>
        </w:rPr>
        <w:t xml:space="preserve">=</w:t>
      </w:r>
      <w:r>
        <w:rPr>
          <w:rStyle w:val="NormalTok"/>
        </w:rPr>
        <w:t xml:space="preserve">targets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tar_read</w:t>
      </w:r>
      <w:r>
        <w:rPr>
          <w:rStyle w:val="NormalTok"/>
        </w:rPr>
        <w:t xml:space="preserve">(tbl_events_cox_regression_uv),</w:t>
      </w:r>
      <w:r>
        <w:br/>
      </w:r>
      <w:r>
        <w:rPr>
          <w:rStyle w:val="StringTok"/>
        </w:rPr>
        <w:t xml:space="preserve">"Multivariate"</w:t>
      </w:r>
      <w:r>
        <w:rPr>
          <w:rStyle w:val="OtherTok"/>
        </w:rPr>
        <w:t xml:space="preserve">=</w:t>
      </w:r>
      <w:r>
        <w:rPr>
          <w:rStyle w:val="NormalTok"/>
        </w:rPr>
        <w:t xml:space="preserve">targets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tar_read</w:t>
      </w:r>
      <w:r>
        <w:rPr>
          <w:rStyle w:val="NormalTok"/>
        </w:rPr>
        <w:t xml:space="preserve">(tbl_events_cox_regression),</w:t>
      </w:r>
      <w:r>
        <w:br/>
      </w:r>
      <w:r>
        <w:rPr>
          <w:rStyle w:val="StringTok"/>
        </w:rPr>
        <w:t xml:space="preserve">"Imputed Multivariate"</w:t>
      </w:r>
      <w:r>
        <w:rPr>
          <w:rStyle w:val="OtherTok"/>
        </w:rPr>
        <w:t xml:space="preserve">=</w:t>
      </w:r>
      <w:r>
        <w:rPr>
          <w:rStyle w:val="NormalTok"/>
        </w:rPr>
        <w:t xml:space="preserve">targets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tar_read</w:t>
      </w:r>
      <w:r>
        <w:rPr>
          <w:rStyle w:val="NormalTok"/>
        </w:rPr>
        <w:t xml:space="preserve">(tbl_events_mids_cox_regression)) </w:t>
      </w:r>
      <w:r>
        <w:rPr>
          <w:rStyle w:val="SpecialCharTok"/>
        </w:rPr>
        <w:t xml:space="preserve">|&gt;</w:t>
      </w:r>
      <w:r>
        <w:rPr>
          <w:rStyle w:val="NormalTok"/>
        </w:rPr>
        <w:t xml:space="preserve"> </w:t>
      </w:r>
      <w:r>
        <w:br/>
      </w:r>
      <w:r>
        <w:rPr>
          <w:rStyle w:val="NormalTok"/>
        </w:rPr>
        <w:t xml:space="preserve">  purrr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map</w:t>
      </w:r>
      <w:r>
        <w:rPr>
          <w:rStyle w:val="NormalTok"/>
        </w:rPr>
        <w:t xml:space="preserve">(gtsummary</w:t>
      </w:r>
      <w:r>
        <w:rPr>
          <w:rStyle w:val="SpecialCharTok"/>
        </w:rPr>
        <w:t xml:space="preserve">::</w:t>
      </w:r>
      <w:r>
        <w:rPr>
          <w:rStyle w:val="NormalTok"/>
        </w:rPr>
        <w:t xml:space="preserve">modify_table_styling,</w:t>
      </w:r>
      <w:r>
        <w:rPr>
          <w:rStyle w:val="AttributeTok"/>
        </w:rPr>
        <w:t xml:space="preserve">column=</w:t>
      </w:r>
      <w:r>
        <w:rPr>
          <w:rStyle w:val="NormalTok"/>
        </w:rPr>
        <w:t xml:space="preserve">p.value,</w:t>
      </w:r>
      <w:r>
        <w:rPr>
          <w:rStyle w:val="AttributeTok"/>
        </w:rPr>
        <w:t xml:space="preserve">hide=</w:t>
      </w:r>
      <w:r>
        <w:rPr>
          <w:rStyle w:val="ConstantTok"/>
        </w:rPr>
        <w:t xml:space="preserve">TRUE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|&gt;</w:t>
      </w:r>
      <w:r>
        <w:rPr>
          <w:rStyle w:val="NormalTok"/>
        </w:rPr>
        <w:t xml:space="preserve"> 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tbl_merged_named</w:t>
      </w:r>
      <w:r>
        <w:rPr>
          <w:rStyle w:val="NormalTok"/>
        </w:rPr>
        <w:t xml:space="preserve">()</w:t>
      </w:r>
    </w:p>
    <w:p>
      <w:pPr>
        <w:pStyle w:val="SourceCode"/>
      </w:pPr>
      <w:r>
        <w:rPr>
          <w:rStyle w:val="VerbatimChar"/>
        </w:rPr>
        <w:t xml:space="preserve">Table printed with {flextable}, not {gt}. Learn why at</w:t>
      </w:r>
      <w:r>
        <w:br/>
      </w:r>
      <w:r>
        <w:rPr>
          <w:rStyle w:val="VerbatimChar"/>
        </w:rPr>
        <w:t xml:space="preserve">https://www.danieldsjoberg.com/gtsummary/articles/rmarkdown.html</w:t>
      </w:r>
      <w:r>
        <w:br/>
      </w:r>
      <w:r>
        <w:rPr>
          <w:rStyle w:val="VerbatimChar"/>
        </w:rPr>
        <w:t xml:space="preserve">To suppress this message, include `message = FALSE` in the code chunk header.</w:t>
      </w:r>
    </w:p>
    <w:tbl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pic="http://schemas.openxmlformats.org/drawingml/2006/picture">
      <w:tblPr>
        <w:tblLayout w:type="fixed"/>
        <w:jc w:val="center"/>
        <w:tblLook w:firstRow="1" w:lastRow="0" w:firstColumn="0" w:lastColumn="0" w:noHBand="0" w:noVBand="1"/>
      </w:tblPr>
      <w:tblGrid>
        <w:gridCol w:w="5399"/>
        <w:gridCol w:w="839"/>
        <w:gridCol w:w="1389"/>
        <w:gridCol w:w="839"/>
        <w:gridCol w:w="1389"/>
        <w:gridCol w:w="839"/>
        <w:gridCol w:w="1389"/>
      </w:tblGrid>
      <w:tr>
        <w:trPr>
          <w:trHeight w:val="612" w:hRule="auto"/>
          <w:tblHeader/>
        </w:trPr>
        header 1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 </w:t>
            </w:r>
          </w:p>
        </w:tc>
        <w:tc>
          <w:tcPr>
            <w:gridSpan w:val="2"/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Univariate</w:t>
            </w:r>
          </w:p>
        </w:tc>
        <w:tc>
          <w:tcPr>
            <w:gridSpan w:val="2"/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Multivariate</w:t>
            </w:r>
          </w:p>
        </w:tc>
        <w:tc>
          <w:tcPr>
            <w:gridSpan w:val="2"/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Imputed Multivariate</w:t>
            </w:r>
          </w:p>
        </w:tc>
      </w:tr>
      <w:tr>
        <w:trPr>
          <w:trHeight w:val="577" w:hRule="auto"/>
          <w:tblHeader/>
        </w:trPr>
        header 2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Characteristic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HR</w:t>
            </w: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vertAlign w:val="superscript"/>
                <w:sz w:val="22"/>
                <w:szCs w:val="22"/>
                <w:color w:val="000000"/>
              </w:rPr>
              <w:t xml:space="preserve">1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95% CI</w:t>
            </w: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vertAlign w:val="superscript"/>
                <w:sz w:val="22"/>
                <w:szCs w:val="22"/>
                <w:color w:val="000000"/>
              </w:rPr>
              <w:t xml:space="preserve">1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HR</w:t>
            </w: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vertAlign w:val="superscript"/>
                <w:sz w:val="22"/>
                <w:szCs w:val="22"/>
                <w:color w:val="000000"/>
              </w:rPr>
              <w:t xml:space="preserve">1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95% CI</w:t>
            </w: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vertAlign w:val="superscript"/>
                <w:sz w:val="22"/>
                <w:szCs w:val="22"/>
                <w:color w:val="000000"/>
              </w:rPr>
              <w:t xml:space="preserve">1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HR</w:t>
            </w: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vertAlign w:val="superscript"/>
                <w:sz w:val="22"/>
                <w:szCs w:val="22"/>
                <w:color w:val="000000"/>
              </w:rPr>
              <w:t xml:space="preserve">1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95% CI</w:t>
            </w: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vertAlign w:val="superscript"/>
                <w:sz w:val="22"/>
                <w:szCs w:val="22"/>
                <w:color w:val="000000"/>
              </w:rPr>
              <w:t xml:space="preserve">1</w:t>
            </w:r>
          </w:p>
        </w:tc>
      </w:tr>
      <w:tr>
        <w:trPr>
          <w:trHeight w:val="614" w:hRule="auto"/>
        </w:trPr>
        body 1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PA change group</w:t>
            </w:r>
          </w:p>
        </w:tc>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</w:tr>
      <w:tr>
        <w:trPr>
          <w:trHeight w:val="614" w:hRule="auto"/>
        </w:trPr>
        body 2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Persistently high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1.00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—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1.00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—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1.00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—</w:t>
            </w:r>
          </w:p>
        </w:tc>
      </w:tr>
      <w:tr>
        <w:trPr>
          <w:trHeight w:val="600" w:hRule="auto"/>
        </w:trPr>
        body 3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Decrease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1.85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1.17, 2.92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1.71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0.96, 3.06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1.26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0.74, 2.16</w:t>
            </w:r>
          </w:p>
        </w:tc>
      </w:tr>
      <w:tr>
        <w:trPr>
          <w:trHeight w:val="600" w:hRule="auto"/>
        </w:trPr>
        body 4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Increase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1.61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0.99, 2.64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1.75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0.99, 3.10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1.29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0.76, 2.18</w:t>
            </w:r>
          </w:p>
        </w:tc>
      </w:tr>
      <w:tr>
        <w:trPr>
          <w:trHeight w:val="614" w:hRule="auto"/>
        </w:trPr>
        body 5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Persistently low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2.87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1.90, 4.33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2.56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1.37, 4.78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1.90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1.12, 3.23</w:t>
            </w:r>
          </w:p>
        </w:tc>
      </w:tr>
      <w:tr>
        <w:trPr>
          <w:trHeight w:val="614" w:hRule="auto"/>
        </w:trPr>
        body 6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Age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1.05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1.03, 1.06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1.04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1.01, 1.07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1.04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1.02, 1.06</w:t>
            </w:r>
          </w:p>
        </w:tc>
      </w:tr>
      <w:tr>
        <w:trPr>
          <w:trHeight w:val="600" w:hRule="auto"/>
        </w:trPr>
        body 7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Female sex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0.81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0.58, 1.13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0.72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0.47, 1.10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0.70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0.47, 1.03</w:t>
            </w:r>
          </w:p>
        </w:tc>
      </w:tr>
      <w:tr>
        <w:trPr>
          <w:trHeight w:val="600" w:hRule="auto"/>
        </w:trPr>
        body 8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Admission NIHSS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1.02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0.99, 1.06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1.00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0.95, 1.05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1.00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0.96, 1.04</w:t>
            </w:r>
          </w:p>
        </w:tc>
      </w:tr>
      <w:tr>
        <w:trPr>
          <w:trHeight w:val="600" w:hRule="auto"/>
        </w:trPr>
        body 9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Treated with IVT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0.88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0.63, 1.22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1.03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0.68, 1.57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0.94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0.65, 1.37</w:t>
            </w:r>
          </w:p>
        </w:tc>
      </w:tr>
      <w:tr>
        <w:trPr>
          <w:trHeight w:val="600" w:hRule="auto"/>
        </w:trPr>
        body10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Treated with EVT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1.08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0.59, 2.00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1.16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0.46, 2.91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1.34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0.65, 2.78</w:t>
            </w:r>
          </w:p>
        </w:tc>
      </w:tr>
      <w:tr>
        <w:trPr>
          <w:trHeight w:val="600" w:hRule="auto"/>
        </w:trPr>
        body11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Placebo trial treatment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1.12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0.82, 1.53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1.10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0.76, 1.61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1.13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0.81, 1.58</w:t>
            </w:r>
          </w:p>
        </w:tc>
      </w:tr>
      <w:tr>
        <w:trPr>
          <w:trHeight w:val="614" w:hRule="auto"/>
        </w:trPr>
        body12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Living alone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1.43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1.04, 1.98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1.02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0.66, 1.59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1.04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0.71, 1.54</w:t>
            </w:r>
          </w:p>
        </w:tc>
      </w:tr>
      <w:tr>
        <w:trPr>
          <w:trHeight w:val="600" w:hRule="auto"/>
        </w:trPr>
        body13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Current smoker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1.19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0.85, 1.66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1.17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0.76, 1.80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1.18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0.80, 1.74</w:t>
            </w:r>
          </w:p>
        </w:tc>
      </w:tr>
      <w:tr>
        <w:trPr>
          <w:trHeight w:val="614" w:hRule="auto"/>
        </w:trPr>
        body14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High alcohol consumption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1.83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1.16, 2.91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1.55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0.84, 2.83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1.52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0.90, 2.57</w:t>
            </w:r>
          </w:p>
        </w:tc>
      </w:tr>
      <w:tr>
        <w:trPr>
          <w:trHeight w:val="614" w:hRule="auto"/>
        </w:trPr>
        body15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Hypertension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1.26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0.92, 1.73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0.78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0.53, 1.15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0.85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0.60, 1.21</w:t>
            </w:r>
          </w:p>
        </w:tc>
      </w:tr>
      <w:tr>
        <w:trPr>
          <w:trHeight w:val="600" w:hRule="auto"/>
        </w:trPr>
        body16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Diabetes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1.58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1.02, 2.46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1.20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0.68, 2.12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1.42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0.86, 2.33</w:t>
            </w:r>
          </w:p>
        </w:tc>
      </w:tr>
      <w:tr>
        <w:trPr>
          <w:trHeight w:val="600" w:hRule="auto"/>
        </w:trPr>
        body17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Atrial fibrillation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1.54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1.05, 2.27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1.13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0.70, 1.84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1.19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0.77, 1.84</w:t>
            </w:r>
          </w:p>
        </w:tc>
      </w:tr>
      <w:tr>
        <w:trPr>
          <w:trHeight w:val="600" w:hRule="auto"/>
        </w:trPr>
        body18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Previous MI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2.26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1.44, 3.55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3.04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1.66, 5.57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2.57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1.55, 4.25</w:t>
            </w:r>
          </w:p>
        </w:tc>
      </w:tr>
      <w:tr>
        <w:trPr>
          <w:trHeight w:val="614" w:hRule="auto"/>
        </w:trPr>
        body19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Not employed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1.94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1.39, 2.72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1.08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0.65, 1.82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0.95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0.61, 1.46</w:t>
            </w:r>
          </w:p>
        </w:tc>
      </w:tr>
      <w:tr>
        <w:trPr>
          <w:trHeight w:val="617" w:hRule="auto"/>
        </w:trPr>
        body20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Lower family income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</w:tr>
      <w:tr>
        <w:trPr>
          <w:trHeight w:val="614" w:hRule="auto"/>
        </w:trPr>
        body21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high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1.00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—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1.00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—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1.00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—</w:t>
            </w:r>
          </w:p>
        </w:tc>
      </w:tr>
      <w:tr>
        <w:trPr>
          <w:trHeight w:val="600" w:hRule="auto"/>
        </w:trPr>
        body22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medium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1.45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0.97, 2.18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0.87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0.51, 1.49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1.00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0.64, 1.58</w:t>
            </w:r>
          </w:p>
        </w:tc>
      </w:tr>
      <w:tr>
        <w:trPr>
          <w:trHeight w:val="600" w:hRule="auto"/>
        </w:trPr>
        body23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low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2.05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1.38, 3.05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1.11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0.61, 2.02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1.22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0.73, 2.04</w:t>
            </w:r>
          </w:p>
        </w:tc>
      </w:tr>
      <w:tr>
        <w:trPr>
          <w:trHeight w:val="571" w:hRule="auto"/>
        </w:trPr>
        body24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Lower educational level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</w:tr>
      <w:tr>
        <w:trPr>
          <w:trHeight w:val="614" w:hRule="auto"/>
        </w:trPr>
        body25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high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1.00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—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1.00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—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1.00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—</w:t>
            </w:r>
          </w:p>
        </w:tc>
      </w:tr>
      <w:tr>
        <w:trPr>
          <w:trHeight w:val="600" w:hRule="auto"/>
        </w:trPr>
        body26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medium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1.68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1.01, 2.77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1.32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0.74, 2.38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1.33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0.77, 2.30</w:t>
            </w:r>
          </w:p>
        </w:tc>
      </w:tr>
      <w:tr>
        <w:trPr>
          <w:trHeight w:val="600" w:hRule="auto"/>
        </w:trPr>
        body27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low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2.05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1.24, 3.39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1.45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0.80, 2.63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1.31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0.75, 2.31</w:t>
            </w:r>
          </w:p>
        </w:tc>
      </w:tr>
      <w:tr>
        <w:trPr>
          <w:trHeight w:val="615" w:hRule="auto"/>
        </w:trPr>
        body28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WHO-5 score 6 months post-stroke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1.00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0.99, 1.01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1.00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0.98, 1.01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1.00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0.99, 1.01</w:t>
            </w:r>
          </w:p>
        </w:tc>
      </w:tr>
      <w:tr>
        <w:trPr>
          <w:trHeight w:val="613" w:hRule="auto"/>
        </w:trPr>
        body29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MDI score 6 months post-stroke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1.00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0.98, 1.02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0.98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0.95, 1.02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0.99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0.96, 1.02</w:t>
            </w:r>
          </w:p>
        </w:tc>
      </w:tr>
      <w:tr>
        <w:trPr>
          <w:trHeight w:val="617" w:hRule="auto"/>
        </w:trPr>
        body30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General fatigue (MFI domain) 6 months post-stroke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1.00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0.96, 1.04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1.01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0.95, 1.06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1.00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0.95, 1.06</w:t>
            </w:r>
          </w:p>
        </w:tc>
      </w:tr>
      <w:tr>
        <w:trPr>
          <w:trHeight w:val="615" w:hRule="auto"/>
        </w:trPr>
        body31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mRS &gt; 1 at 6 months post-stroke</w:t>
            </w:r>
          </w:p>
        </w:tc>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1.79</w:t>
            </w:r>
          </w:p>
        </w:tc>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1.30, 2.47</w:t>
            </w:r>
          </w:p>
        </w:tc>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1.30</w:t>
            </w:r>
          </w:p>
        </w:tc>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0.83, 2.04</w:t>
            </w:r>
          </w:p>
        </w:tc>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1.41</w:t>
            </w:r>
          </w:p>
        </w:tc>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0.95, 2.09</w:t>
            </w:r>
          </w:p>
        </w:tc>
      </w:tr>
      <w:tr>
        <w:trPr>
          <w:trHeight w:val="360" w:hRule="auto"/>
        </w:trPr>
        footer 1
        <w:tc>
          <w:tcPr>
            <w:gridSpan w:val="7"/>
            <w:tcBorders>
              <w:bottom w:val="none" w:sz="0" w:space="0" w:color="FFFFFF"/>
              <w:top w:val="single" w:sz="8" w:space="0" w:color="000000"/>
              <w:left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vertAlign w:val="superscript"/>
                <w:sz w:val="22"/>
                <w:szCs w:val="22"/>
                <w:color w:val="000000"/>
              </w:rPr>
              <w:t xml:space="preserve">1</w:t>
            </w: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HR = Hazard Ratio, CI = Confidence Interval</w:t>
            </w:r>
          </w:p>
        </w:tc>
      </w:tr>
    </w:tbl>
    <w:p>
      <w:pPr>
        <w:pStyle w:val="FirstParagraph"/>
      </w:pPr>
      <w:r>
        <w:t xml:space="preserve">Number of subject included in the non-imputed multivariate analysis.</w:t>
      </w:r>
    </w:p>
    <w:p>
      <w:pPr>
        <w:pStyle w:val="SourceCode"/>
      </w:pPr>
      <w:r>
        <w:rPr>
          <w:rStyle w:val="NormalTok"/>
        </w:rPr>
        <w:t xml:space="preserve">targets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tar_read</w:t>
      </w:r>
      <w:r>
        <w:rPr>
          <w:rStyle w:val="NormalTok"/>
        </w:rPr>
        <w:t xml:space="preserve">(df_event_data) </w:t>
      </w:r>
      <w:r>
        <w:rPr>
          <w:rStyle w:val="SpecialCharTok"/>
        </w:rPr>
        <w:t xml:space="preserve">|&gt;</w:t>
      </w:r>
      <w:r>
        <w:rPr>
          <w:rStyle w:val="NormalTok"/>
        </w:rPr>
        <w:t xml:space="preserve"> </w:t>
      </w:r>
      <w:r>
        <w:br/>
      </w:r>
      <w:r>
        <w:rPr>
          <w:rStyle w:val="NormalTok"/>
        </w:rPr>
        <w:t xml:space="preserve">  </w:t>
      </w:r>
      <w:r>
        <w:rPr>
          <w:rStyle w:val="CommentTok"/>
        </w:rPr>
        <w:t xml:space="preserve"># dplyr::select(-reg_bmi) |&gt;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na.omit</w:t>
      </w:r>
      <w:r>
        <w:rPr>
          <w:rStyle w:val="NormalTok"/>
        </w:rPr>
        <w:t xml:space="preserve">() </w:t>
      </w:r>
      <w:r>
        <w:rPr>
          <w:rStyle w:val="SpecialCharTok"/>
        </w:rPr>
        <w:t xml:space="preserve">|&gt;</w:t>
      </w:r>
      <w:r>
        <w:rPr>
          <w:rStyle w:val="NormalTok"/>
        </w:rPr>
        <w:t xml:space="preserve"> 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nrow</w:t>
      </w:r>
      <w:r>
        <w:rPr>
          <w:rStyle w:val="NormalTok"/>
        </w:rPr>
        <w:t xml:space="preserve">()</w:t>
      </w:r>
    </w:p>
    <w:p>
      <w:pPr>
        <w:pStyle w:val="SourceCode"/>
      </w:pPr>
      <w:r>
        <w:rPr>
          <w:rStyle w:val="VerbatimChar"/>
        </w:rPr>
        <w:t xml:space="preserve">[1] 383</w:t>
      </w:r>
    </w:p>
    <w:bookmarkStart w:id="20" w:name="multiple-imputation"/>
    <w:p>
      <w:pPr>
        <w:pStyle w:val="Heading3"/>
      </w:pPr>
      <w:r>
        <w:t xml:space="preserve">Multiple imputation</w:t>
      </w:r>
    </w:p>
    <w:bookmarkEnd w:id="20"/>
    <w:bookmarkEnd w:id="21"/>
    <w:bookmarkStart w:id="22" w:name="continuous-pase"/>
    <w:p>
      <w:pPr>
        <w:pStyle w:val="Heading2"/>
      </w:pPr>
      <w:r>
        <w:t xml:space="preserve">Continuous PASE</w:t>
      </w:r>
    </w:p>
    <w:p>
      <w:pPr>
        <w:pStyle w:val="SourceCode"/>
      </w:pPr>
      <w:r>
        <w:rPr>
          <w:rStyle w:val="NormalTok"/>
        </w:rPr>
        <w:t xml:space="preserve">targets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tar_read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"df_all_data_formatted"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|&gt;</w:t>
      </w:r>
      <w:r>
        <w:rPr>
          <w:rStyle w:val="NormalTok"/>
        </w:rPr>
        <w:t xml:space="preserve"> 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events_ready</w:t>
      </w:r>
      <w:r>
        <w:rPr>
          <w:rStyle w:val="NormalTok"/>
        </w:rPr>
        <w:t xml:space="preserve">() </w:t>
      </w:r>
      <w:r>
        <w:rPr>
          <w:rStyle w:val="SpecialCharTok"/>
        </w:rPr>
        <w:t xml:space="preserve">|&gt;</w:t>
      </w:r>
      <w:r>
        <w:rPr>
          <w:rStyle w:val="NormalTok"/>
        </w:rPr>
        <w:t xml:space="preserve"> </w:t>
      </w:r>
      <w:r>
        <w:br/>
      </w:r>
      <w:r>
        <w:rPr>
          <w:rStyle w:val="NormalTok"/>
        </w:rPr>
        <w:t xml:space="preserve">  dplyr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filter</w:t>
      </w:r>
      <w:r>
        <w:rPr>
          <w:rStyle w:val="NormalTok"/>
        </w:rPr>
        <w:t xml:space="preserve">(</w:t>
      </w:r>
      <w:r>
        <w:rPr>
          <w:rStyle w:val="SpecialCharTok"/>
        </w:rPr>
        <w:t xml:space="preserve">!</w:t>
      </w:r>
      <w:r>
        <w:rPr>
          <w:rStyle w:val="FunctionTok"/>
        </w:rPr>
        <w:t xml:space="preserve">is.na</w:t>
      </w:r>
      <w:r>
        <w:rPr>
          <w:rStyle w:val="NormalTok"/>
        </w:rPr>
        <w:t xml:space="preserve">(pase_0),</w:t>
      </w:r>
      <w:r>
        <w:rPr>
          <w:rStyle w:val="SpecialCharTok"/>
        </w:rPr>
        <w:t xml:space="preserve">!</w:t>
      </w:r>
      <w:r>
        <w:rPr>
          <w:rStyle w:val="FunctionTok"/>
        </w:rPr>
        <w:t xml:space="preserve">is.na</w:t>
      </w:r>
      <w:r>
        <w:rPr>
          <w:rStyle w:val="NormalTok"/>
        </w:rPr>
        <w:t xml:space="preserve">(pase_4)) </w:t>
      </w:r>
      <w:r>
        <w:rPr>
          <w:rStyle w:val="SpecialCharTok"/>
        </w:rPr>
        <w:t xml:space="preserve">|&gt;</w:t>
      </w:r>
      <w:r>
        <w:rPr>
          <w:rStyle w:val="NormalTok"/>
        </w:rPr>
        <w:t xml:space="preserve"> </w:t>
      </w:r>
      <w:r>
        <w:br/>
      </w:r>
      <w:r>
        <w:rPr>
          <w:rStyle w:val="NormalTok"/>
        </w:rPr>
        <w:t xml:space="preserve">  (\(data){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"pase_0"</w:t>
      </w:r>
      <w:r>
        <w:rPr>
          <w:rStyle w:val="NormalTok"/>
        </w:rPr>
        <w:t xml:space="preserve">,</w:t>
      </w:r>
      <w:r>
        <w:rPr>
          <w:rStyle w:val="StringTok"/>
        </w:rPr>
        <w:t xml:space="preserve">"pase_4"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|&gt;</w:t>
      </w:r>
      <w:r>
        <w:rPr>
          <w:rStyle w:val="NormalTok"/>
        </w:rPr>
        <w:t xml:space="preserve"> </w:t>
      </w:r>
      <w:r>
        <w:br/>
      </w:r>
      <w:r>
        <w:rPr>
          <w:rStyle w:val="NormalTok"/>
        </w:rPr>
        <w:t xml:space="preserve">      purrr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map</w:t>
      </w:r>
      <w:r>
        <w:rPr>
          <w:rStyle w:val="NormalTok"/>
        </w:rPr>
        <w:t xml:space="preserve">(\(exp){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with</w:t>
      </w:r>
      <w:r>
        <w:rPr>
          <w:rStyle w:val="NormalTok"/>
        </w:rPr>
        <w:t xml:space="preserve">(data,survival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coxph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as.formula</w:t>
      </w:r>
      <w:r>
        <w:rPr>
          <w:rStyle w:val="NormalTok"/>
        </w:rPr>
        <w:t xml:space="preserve">(glue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glue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"survival::Surv(time, status)~{exp}"</w:t>
      </w:r>
      <w:r>
        <w:rPr>
          <w:rStyle w:val="NormalTok"/>
        </w:rPr>
        <w:t xml:space="preserve">)))) </w:t>
      </w:r>
      <w:r>
        <w:rPr>
          <w:rStyle w:val="SpecialCharTok"/>
        </w:rPr>
        <w:t xml:space="preserve">|&gt;</w:t>
      </w:r>
      <w:r>
        <w:rPr>
          <w:rStyle w:val="NormalTok"/>
        </w:rPr>
        <w:t xml:space="preserve"> </w:t>
      </w:r>
      <w:r>
        <w:br/>
      </w:r>
      <w:r>
        <w:rPr>
          <w:rStyle w:val="NormalTok"/>
        </w:rPr>
        <w:t xml:space="preserve">  gtsummary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tbl_regression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exponentiate=</w:t>
      </w:r>
      <w:r>
        <w:rPr>
          <w:rStyle w:val="ConstantTok"/>
        </w:rPr>
        <w:t xml:space="preserve">TRUE</w:t>
      </w:r>
      <w:r>
        <w:rPr>
          <w:rStyle w:val="NormalTok"/>
        </w:rPr>
        <w:t xml:space="preserve">)</w:t>
      </w:r>
      <w:r>
        <w:rPr>
          <w:rStyle w:val="SpecialCharTok"/>
        </w:rPr>
        <w:t xml:space="preserve">|&gt;</w:t>
      </w:r>
      <w:r>
        <w:rPr>
          <w:rStyle w:val="NormalTok"/>
        </w:rPr>
        <w:t xml:space="preserve"> 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fix_labels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  })</w:t>
      </w:r>
      <w:r>
        <w:br/>
      </w:r>
      <w:r>
        <w:rPr>
          <w:rStyle w:val="NormalTok"/>
        </w:rPr>
        <w:t xml:space="preserve">    })()  </w:t>
      </w:r>
      <w:r>
        <w:rPr>
          <w:rStyle w:val="SpecialCharTok"/>
        </w:rPr>
        <w:t xml:space="preserve">|&gt;</w:t>
      </w:r>
      <w:r>
        <w:rPr>
          <w:rStyle w:val="NormalTok"/>
        </w:rPr>
        <w:t xml:space="preserve"> </w:t>
      </w:r>
      <w:r>
        <w:br/>
      </w:r>
      <w:r>
        <w:rPr>
          <w:rStyle w:val="NormalTok"/>
        </w:rPr>
        <w:t xml:space="preserve">  gtsummary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tbl_stack</w:t>
      </w:r>
      <w:r>
        <w:rPr>
          <w:rStyle w:val="NormalTok"/>
        </w:rPr>
        <w:t xml:space="preserve">()</w:t>
      </w:r>
    </w:p>
    <w:p>
      <w:pPr>
        <w:pStyle w:val="SourceCode"/>
      </w:pPr>
      <w:r>
        <w:rPr>
          <w:rStyle w:val="VerbatimChar"/>
        </w:rPr>
        <w:t xml:space="preserve">Table printed with {flextable}, not {gt}. Learn why at</w:t>
      </w:r>
      <w:r>
        <w:br/>
      </w:r>
      <w:r>
        <w:rPr>
          <w:rStyle w:val="VerbatimChar"/>
        </w:rPr>
        <w:t xml:space="preserve">https://www.danieldsjoberg.com/gtsummary/articles/rmarkdown.html</w:t>
      </w:r>
      <w:r>
        <w:br/>
      </w:r>
      <w:r>
        <w:rPr>
          <w:rStyle w:val="VerbatimChar"/>
        </w:rPr>
        <w:t xml:space="preserve">To suppress this message, include `message = FALSE` in the code chunk header.</w:t>
      </w:r>
    </w:p>
    <w:tbl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pic="http://schemas.openxmlformats.org/drawingml/2006/picture">
      <w:tblPr>
        <w:tblLayout w:type="fixed"/>
        <w:jc w:val="center"/>
        <w:tblLook w:firstRow="1" w:lastRow="0" w:firstColumn="0" w:lastColumn="0" w:noHBand="0" w:noVBand="1"/>
      </w:tblPr>
      <w:tblGrid>
        <w:gridCol w:w="3712"/>
        <w:gridCol w:w="839"/>
        <w:gridCol w:w="1389"/>
        <w:gridCol w:w="1181"/>
      </w:tblGrid>
      <w:tr>
        <w:trPr>
          <w:trHeight w:val="612" w:hRule="auto"/>
          <w:tblHeader/>
        </w:trPr>
        header1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Characteristic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HR</w:t>
            </w: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95% CI</w:t>
            </w: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p-value</w:t>
            </w:r>
          </w:p>
        </w:tc>
      </w:tr>
      <w:tr>
        <w:trPr>
          <w:trHeight w:val="600" w:hRule="auto"/>
        </w:trPr>
        body1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vertAlign w:val="superscript"/>
                <w:sz w:val="22"/>
                <w:szCs w:val="22"/>
                <w:color w:val="000000"/>
              </w:rPr>
              <w:t xml:space="preserve">Pre-stroke PASE score</w:t>
            </w:r>
          </w:p>
        </w:tc>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vertAlign w:val="superscript"/>
                <w:sz w:val="22"/>
                <w:szCs w:val="22"/>
                <w:color w:val="000000"/>
              </w:rPr>
              <w:t xml:space="preserve">1.00</w:t>
            </w:r>
          </w:p>
        </w:tc>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vertAlign w:val="superscript"/>
                <w:sz w:val="22"/>
                <w:szCs w:val="22"/>
                <w:color w:val="000000"/>
              </w:rPr>
              <w:t xml:space="preserve">1.00, 1.00</w:t>
            </w:r>
          </w:p>
        </w:tc>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vertAlign w:val="superscript"/>
                <w:sz w:val="22"/>
                <w:szCs w:val="22"/>
                <w:color w:val="000000"/>
              </w:rPr>
              <w:t xml:space="preserve">0.007</w:t>
            </w:r>
          </w:p>
        </w:tc>
      </w:tr>
      <w:tr>
        <w:trPr>
          <w:trHeight w:val="615" w:hRule="auto"/>
        </w:trPr>
        body2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vertAlign w:val="superscript"/>
                <w:sz w:val="22"/>
                <w:szCs w:val="22"/>
                <w:color w:val="000000"/>
              </w:rPr>
              <w:t xml:space="preserve">6 months post-stroke PASE score</w:t>
            </w:r>
          </w:p>
        </w:tc>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vertAlign w:val="superscript"/>
                <w:sz w:val="22"/>
                <w:szCs w:val="22"/>
                <w:color w:val="000000"/>
              </w:rPr>
              <w:t xml:space="preserve">1.00</w:t>
            </w:r>
          </w:p>
        </w:tc>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vertAlign w:val="superscript"/>
                <w:sz w:val="22"/>
                <w:szCs w:val="22"/>
                <w:color w:val="000000"/>
              </w:rPr>
              <w:t xml:space="preserve">0.99, 1.00</w:t>
            </w:r>
          </w:p>
        </w:tc>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vertAlign w:val="superscript"/>
                <w:sz w:val="22"/>
                <w:szCs w:val="22"/>
                <w:color w:val="000000"/>
              </w:rPr>
              <w:t xml:space="preserve">&lt;0.001</w:t>
            </w:r>
          </w:p>
        </w:tc>
      </w:tr>
      <w:tr>
        <w:trPr>
          <w:trHeight w:val="360" w:hRule="auto"/>
        </w:trPr>
        footer1
        <w:tc>
          <w:tcPr>
            <w:gridSpan w:val="4"/>
            <w:tcBorders>
              <w:bottom w:val="none" w:sz="0" w:space="0" w:color="FFFFFF"/>
              <w:top w:val="single" w:sz="8" w:space="0" w:color="000000"/>
              <w:left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</w:t>
            </w: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vertAlign w:val="superscript"/>
                <w:sz w:val="22"/>
                <w:szCs w:val="22"/>
                <w:color w:val="000000"/>
              </w:rPr>
              <w:t xml:space="preserve">HR = Hazard Ratio, CI = Confidence Interval</w:t>
            </w:r>
          </w:p>
        </w:tc>
      </w:tr>
    </w:tbl>
    <w:bookmarkEnd w:id="22"/>
    <w:bookmarkStart w:id="23" w:name="consider"/>
    <w:p>
      <w:pPr>
        <w:pStyle w:val="Heading2"/>
      </w:pPr>
      <w:r>
        <w:t xml:space="preserve">Consider</w:t>
      </w:r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color w:val="5e5e5e"/>
      <w:shd w:val="clear" w:fill="f1f3f5"/>
      <w:i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color w:val="5e5e5e"/>
      <w:shd w:val="clear" w:fill="f1f3f5"/>
      <w:i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color w:val="5e5e5e"/>
      <w:shd w:val="clear" w:fill="f1f3f5"/>
      <w:i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 event analyses</dc:title>
  <dc:creator/>
  <cp:keywords/>
  <dcterms:created xsi:type="dcterms:W3CDTF">2024-10-30T14:48:58Z</dcterms:created>
  <dcterms:modified xsi:type="dcterms:W3CDTF">2024-10-30T14:48:58Z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date">
    <vt:lpwstr>2024-10-30</vt:lpwstr>
  </property>
  <property fmtid="{D5CDD505-2E9C-101B-9397-08002B2CF9AE}" pid="4" name="editor">
    <vt:lpwstr>source</vt:lpwstr>
  </property>
  <property fmtid="{D5CDD505-2E9C-101B-9397-08002B2CF9AE}" pid="5" name="header-includes">
    <vt:lpwstr/>
  </property>
  <property fmtid="{D5CDD505-2E9C-101B-9397-08002B2CF9AE}" pid="6" name="include-after">
    <vt:lpwstr/>
  </property>
  <property fmtid="{D5CDD505-2E9C-101B-9397-08002B2CF9AE}" pid="7" name="include-before">
    <vt:lpwstr/>
  </property>
  <property fmtid="{D5CDD505-2E9C-101B-9397-08002B2CF9AE}" pid="8" name="labels">
    <vt:lpwstr/>
  </property>
  <property fmtid="{D5CDD505-2E9C-101B-9397-08002B2CF9AE}" pid="9" name="toc-title">
    <vt:lpwstr>Table of contents</vt:lpwstr>
  </property>
</Properties>
</file>