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Female</w:t>
            </w:r>
            <w:r>
              <w:rPr>
                <w:rFonts w:ascii="Calibri" w:hAnsi="Calibri"/>
                <w:sz w:val="20"/>
              </w:rPr>
              <w:t xml:space="preserve">, N = 181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Male</w:t>
            </w:r>
            <w:r>
              <w:rPr>
                <w:rFonts w:ascii="Calibri" w:hAnsi="Calibri"/>
                <w:sz w:val="20"/>
              </w:rPr>
              <w:t xml:space="preserve">, N = 342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87 (48%)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227 (66%)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Decrease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29 (16%)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49 (14%)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(20%)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31 (9.1%)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Increase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28 (15%)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35 (10%)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Age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71 (64, 78)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67 (57, 76)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Admission NIHSS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4.0 (2.0, 7.0)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3.0 (2.0, 5.0)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0.044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reg_trombolyse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65 (36%)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125 (37%)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reg_trombektomi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 (7.7%)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23 (6.7%)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Placebo trial treatment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88 (49%)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181 (53%)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107 (66, 169)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151 (99, 222)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6 months post-stroke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110 (59, 179)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149 (90, 222)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Living alone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89 (49%)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83 (25%)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Body mass index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25.8 (22.9, 30.4)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27.0 (24.5, 30.2)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Current smoker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54 (31%)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110 (33%)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High alcohol consumption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 (4.0%)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40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Hypertension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98 (54%)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168 (50%)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Diabetes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 (7.3%)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44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0.047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TIA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 (2.8%)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 (2.4%)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Atrial fibrillation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23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59 (18%)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Previous MI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9 (5.0%)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32 (9.5%)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0.072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Peripheral arterial disease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 (3.4%)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 (4.5%)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WHO-5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76 (60, 88)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80 (64, 88)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mRS &gt; 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(20%)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52 (15%)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pase_0_quartile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65 (36%)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66 (19%)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48 (27%)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83 (24%)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44 (24%)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86 (25%)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24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107 (31%)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pase_4_quartile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66 (36%)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80 (23%)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47 (26%)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72 (21%)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37 (20%)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81 (24%)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31 (17%)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109 (32%)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  <w:r>
              <w:rPr>
                <w:rFonts w:ascii="Calibri" w:hAnsi="Calibri"/>
                <w:sz w:val="20"/>
              </w:rPr>
              <w:t xml:space="default">n (%); Median (IQR)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  <w:r>
              <w:rPr>
                <w:rFonts w:ascii="Calibri" w:hAnsi="Calibri"/>
                <w:sz w:val="20"/>
              </w:rPr>
              <w:t xml:space="default">Pearson's Chi-squared test; Wilcoxon rank sum test; Fisher's exact test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2024-07-04T09:38:00Z</dcterms:created>
  <dcterms:modified xsi:type="dcterms:W3CDTF">2024-07-04T09:38:00Z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