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Excluded</w:t>
            </w:r>
            <w:r>
              <w:rPr>
                <w:rFonts w:ascii="Calibri" w:hAnsi="Calibri"/>
                <w:sz w:val="20"/>
              </w:rPr>
              <w:t xml:space="preserve"/>
            </w:r>
            <w:r xmlns:w="http://schemas.openxmlformats.org/wordprocessingml/2006/main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 = 119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Included</w:t>
            </w:r>
            <w:r>
              <w:rPr>
                <w:rFonts w:ascii="Calibri" w:hAnsi="Calibri"/>
                <w:sz w:val="20"/>
              </w:rPr>
              <w:t xml:space="preserve"/>
            </w:r>
            <w:r xmlns:w="http://schemas.openxmlformats.org/wordprocessingml/2006/main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 = 523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74 (64, 81)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69 (59, 77)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40 (34%)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181 (35%)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5.0 (3.0, 11.0)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5.0)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44 (38%)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190 (37%)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&gt;0.9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(7.8%)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(7.3%)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54 (45%)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269 (51%)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101 (56, 157)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137 (83, 203)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6 months post-stroke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51 (30, 63)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136 (77, 206)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0.020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45 (38%)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172 (33%)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Body mass index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25.0 (22.5, 29.3)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26.6 (24.0, 30.4)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0.020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 (33%)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164 (32%)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 (11%)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47 (9.2%)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67 (57%)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266 (51%)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17 (15%)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57 (11%)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 (3.5%)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 (2.5%)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 (22%)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82 (16%)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0.088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 (11%)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41 (7.9%)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(4.3%)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21 (4.1%)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76 (52, 84)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80 (64, 88)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0.040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 (23%)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89 (17%)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  <w:r>
              <w:rPr>
                <w:rFonts w:ascii="Calibri" w:hAnsi="Calibri"/>
                <w:sz w:val="20"/>
              </w:rPr>
              <w:t xml:space="default">Median (Q1, Q3); n (%)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  <w:r>
              <w:rPr>
                <w:rFonts w:ascii="Calibri" w:hAnsi="Calibri"/>
                <w:sz w:val="20"/>
              </w:rPr>
              <w:t xml:space="default">Wilcoxon rank sum test; Pearson's Chi-squared test; Fisher's exact test</w:t>
            </w:r>
          </w:p>
        </w:tc>
      </w:tr>
    </w:tbl>
    <w:p>
      <w:pPr>
        <w:pStyle w:val="FirstParagraph"/>
      </w:pP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2024-10-03T12:19:34Z</dcterms:created>
  <dcterms:modified xsi:type="dcterms:W3CDTF">2024-10-03T12:19:34Z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